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7385" w14:textId="473ADBA3" w:rsidR="001468AF" w:rsidRPr="006F0E33" w:rsidRDefault="001468AF">
      <w:pPr>
        <w:rPr>
          <w:rFonts w:ascii="Arial" w:hAnsi="Arial" w:cs="Arial"/>
          <w:b/>
          <w:bCs/>
          <w:sz w:val="24"/>
          <w:szCs w:val="24"/>
        </w:rPr>
      </w:pPr>
      <w:r w:rsidRPr="006F0E33">
        <w:rPr>
          <w:rFonts w:ascii="Arial" w:hAnsi="Arial" w:cs="Arial"/>
          <w:b/>
          <w:bCs/>
          <w:sz w:val="24"/>
          <w:szCs w:val="24"/>
        </w:rPr>
        <w:t xml:space="preserve">Uwagi do przedmiaru dot. robót budowlanych </w:t>
      </w:r>
    </w:p>
    <w:p w14:paraId="7B309AAE" w14:textId="77777777" w:rsidR="001468AF" w:rsidRPr="001468AF" w:rsidRDefault="001468AF">
      <w:pPr>
        <w:rPr>
          <w:rFonts w:ascii="Arial" w:hAnsi="Arial" w:cs="Arial"/>
          <w:sz w:val="24"/>
          <w:szCs w:val="24"/>
        </w:rPr>
      </w:pPr>
    </w:p>
    <w:p w14:paraId="506B33FF" w14:textId="70416C90" w:rsidR="00B828D3" w:rsidRPr="001468AF" w:rsidRDefault="001468AF">
      <w:pPr>
        <w:rPr>
          <w:rFonts w:ascii="Arial" w:hAnsi="Arial" w:cs="Arial"/>
          <w:sz w:val="24"/>
          <w:szCs w:val="24"/>
        </w:rPr>
      </w:pPr>
      <w:r w:rsidRPr="001468AF">
        <w:rPr>
          <w:rFonts w:ascii="Arial" w:hAnsi="Arial" w:cs="Arial"/>
          <w:sz w:val="24"/>
          <w:szCs w:val="24"/>
        </w:rPr>
        <w:t>a) nie należy uwzględniać pozycji nr</w:t>
      </w:r>
      <w:r>
        <w:rPr>
          <w:rFonts w:ascii="Arial" w:hAnsi="Arial" w:cs="Arial"/>
          <w:sz w:val="24"/>
          <w:szCs w:val="24"/>
        </w:rPr>
        <w:t>:</w:t>
      </w:r>
      <w:r w:rsidRPr="001468AF">
        <w:rPr>
          <w:rFonts w:ascii="Arial" w:hAnsi="Arial" w:cs="Arial"/>
          <w:sz w:val="24"/>
          <w:szCs w:val="24"/>
        </w:rPr>
        <w:t xml:space="preserve"> 51 – 61 </w:t>
      </w:r>
    </w:p>
    <w:p w14:paraId="1E64A562" w14:textId="580E0F01" w:rsidR="001468AF" w:rsidRPr="001468AF" w:rsidRDefault="001468AF" w:rsidP="001468AF">
      <w:pPr>
        <w:rPr>
          <w:rFonts w:ascii="Arial" w:hAnsi="Arial" w:cs="Arial"/>
          <w:sz w:val="24"/>
          <w:szCs w:val="24"/>
        </w:rPr>
      </w:pPr>
      <w:r w:rsidRPr="001468AF">
        <w:rPr>
          <w:rFonts w:ascii="Arial" w:hAnsi="Arial" w:cs="Arial"/>
          <w:sz w:val="24"/>
          <w:szCs w:val="24"/>
        </w:rPr>
        <w:t xml:space="preserve">b) w </w:t>
      </w:r>
      <w:r>
        <w:rPr>
          <w:rFonts w:ascii="Arial" w:hAnsi="Arial" w:cs="Arial"/>
          <w:sz w:val="24"/>
          <w:szCs w:val="24"/>
        </w:rPr>
        <w:t>punkcie</w:t>
      </w:r>
      <w:r w:rsidRPr="001468AF">
        <w:rPr>
          <w:rFonts w:ascii="Arial" w:hAnsi="Arial" w:cs="Arial"/>
          <w:sz w:val="24"/>
          <w:szCs w:val="24"/>
        </w:rPr>
        <w:t xml:space="preserve"> nr</w:t>
      </w:r>
      <w:r>
        <w:rPr>
          <w:rFonts w:ascii="Arial" w:hAnsi="Arial" w:cs="Arial"/>
          <w:sz w:val="24"/>
          <w:szCs w:val="24"/>
        </w:rPr>
        <w:t>:</w:t>
      </w:r>
      <w:r w:rsidRPr="001468AF">
        <w:rPr>
          <w:rFonts w:ascii="Arial" w:hAnsi="Arial" w:cs="Arial"/>
          <w:sz w:val="24"/>
          <w:szCs w:val="24"/>
        </w:rPr>
        <w:t xml:space="preserve"> 1.2.2</w:t>
      </w:r>
      <w:r>
        <w:rPr>
          <w:rFonts w:ascii="Arial" w:hAnsi="Arial" w:cs="Arial"/>
          <w:sz w:val="24"/>
          <w:szCs w:val="24"/>
        </w:rPr>
        <w:t>,</w:t>
      </w:r>
      <w:r w:rsidRPr="001468AF">
        <w:rPr>
          <w:rFonts w:ascii="Arial" w:hAnsi="Arial" w:cs="Arial"/>
          <w:sz w:val="24"/>
          <w:szCs w:val="24"/>
        </w:rPr>
        <w:t xml:space="preserve"> Roboty renowacyjne gzymsów</w:t>
      </w:r>
      <w:r>
        <w:rPr>
          <w:rFonts w:ascii="Arial" w:hAnsi="Arial" w:cs="Arial"/>
          <w:sz w:val="24"/>
          <w:szCs w:val="24"/>
        </w:rPr>
        <w:t xml:space="preserve"> </w:t>
      </w:r>
      <w:r w:rsidRPr="001468AF">
        <w:rPr>
          <w:rFonts w:ascii="Arial" w:hAnsi="Arial" w:cs="Arial"/>
          <w:sz w:val="24"/>
          <w:szCs w:val="24"/>
        </w:rPr>
        <w:t>( Gzymsy w elewacji, gzymsy podokienne) należy dodatkowo uwzględnić poniższe roboty:</w:t>
      </w:r>
    </w:p>
    <w:p w14:paraId="16295D5F" w14:textId="77777777" w:rsidR="001468AF" w:rsidRPr="001468AF" w:rsidRDefault="001468AF" w:rsidP="006F0E33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468AF">
        <w:rPr>
          <w:rFonts w:ascii="Arial" w:hAnsi="Arial" w:cs="Arial"/>
          <w:color w:val="000000" w:themeColor="text1"/>
          <w:sz w:val="24"/>
          <w:szCs w:val="24"/>
        </w:rPr>
        <w:t xml:space="preserve">Iniekcja zamykająca i wypełniająca (uszczelniająca) rysy w ścianach z cegieł - wiercenie otworów pod pakery o </w:t>
      </w:r>
      <w:proofErr w:type="spellStart"/>
      <w:r w:rsidRPr="001468AF">
        <w:rPr>
          <w:rFonts w:ascii="Arial" w:hAnsi="Arial" w:cs="Arial"/>
          <w:color w:val="000000" w:themeColor="text1"/>
          <w:sz w:val="24"/>
          <w:szCs w:val="24"/>
        </w:rPr>
        <w:t>gł</w:t>
      </w:r>
      <w:proofErr w:type="spellEnd"/>
      <w:r w:rsidRPr="001468AF">
        <w:rPr>
          <w:rFonts w:ascii="Arial" w:hAnsi="Arial" w:cs="Arial"/>
          <w:color w:val="000000" w:themeColor="text1"/>
          <w:sz w:val="24"/>
          <w:szCs w:val="24"/>
        </w:rPr>
        <w:t xml:space="preserve"> 30 cm – 10 szt.</w:t>
      </w:r>
    </w:p>
    <w:p w14:paraId="4BEFC4E7" w14:textId="77777777" w:rsidR="001468AF" w:rsidRPr="001468AF" w:rsidRDefault="001468AF" w:rsidP="006F0E33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468AF">
        <w:rPr>
          <w:rFonts w:ascii="Arial" w:hAnsi="Arial" w:cs="Arial"/>
          <w:color w:val="000000" w:themeColor="text1"/>
          <w:sz w:val="24"/>
          <w:szCs w:val="24"/>
        </w:rPr>
        <w:t xml:space="preserve">Iniekcja zamykająca i wypełniająca (uszczelniająca) rysy w ścianach z cegieł - przeprowadzenie iniekcji ( np. zaprawa </w:t>
      </w:r>
      <w:proofErr w:type="spellStart"/>
      <w:r w:rsidRPr="001468AF">
        <w:rPr>
          <w:rFonts w:ascii="Arial" w:hAnsi="Arial" w:cs="Arial"/>
          <w:color w:val="000000" w:themeColor="text1"/>
          <w:sz w:val="24"/>
          <w:szCs w:val="24"/>
        </w:rPr>
        <w:t>weber.tec</w:t>
      </w:r>
      <w:proofErr w:type="spellEnd"/>
      <w:r w:rsidRPr="001468AF">
        <w:rPr>
          <w:rFonts w:ascii="Arial" w:hAnsi="Arial" w:cs="Arial"/>
          <w:color w:val="000000" w:themeColor="text1"/>
          <w:sz w:val="24"/>
          <w:szCs w:val="24"/>
        </w:rPr>
        <w:t xml:space="preserve"> 942 </w:t>
      </w:r>
      <w:proofErr w:type="spellStart"/>
      <w:r w:rsidRPr="001468AF">
        <w:rPr>
          <w:rFonts w:ascii="Arial" w:hAnsi="Arial" w:cs="Arial"/>
          <w:color w:val="000000" w:themeColor="text1"/>
          <w:sz w:val="24"/>
          <w:szCs w:val="24"/>
        </w:rPr>
        <w:t>Cerinol</w:t>
      </w:r>
      <w:proofErr w:type="spellEnd"/>
      <w:r w:rsidRPr="001468AF">
        <w:rPr>
          <w:rFonts w:ascii="Arial" w:hAnsi="Arial" w:cs="Arial"/>
          <w:color w:val="000000" w:themeColor="text1"/>
          <w:sz w:val="24"/>
          <w:szCs w:val="24"/>
        </w:rPr>
        <w:t xml:space="preserve"> BSP ) – 10 szt.</w:t>
      </w:r>
    </w:p>
    <w:p w14:paraId="48619F05" w14:textId="11D277E2" w:rsidR="001468AF" w:rsidRPr="001468AF" w:rsidRDefault="001468AF" w:rsidP="006F0E33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468AF">
        <w:rPr>
          <w:rFonts w:ascii="Arial" w:hAnsi="Arial" w:cs="Arial"/>
          <w:color w:val="000000" w:themeColor="text1"/>
          <w:sz w:val="24"/>
          <w:szCs w:val="24"/>
        </w:rPr>
        <w:t xml:space="preserve">Iniekcja zamykająca i wypełniająca (uszczelniająca) rysy w ścianach z cegieł - zasklepienie otworu ( np. zaprawa </w:t>
      </w:r>
      <w:proofErr w:type="spellStart"/>
      <w:r w:rsidRPr="001468AF">
        <w:rPr>
          <w:rFonts w:ascii="Arial" w:hAnsi="Arial" w:cs="Arial"/>
          <w:color w:val="000000" w:themeColor="text1"/>
          <w:sz w:val="24"/>
          <w:szCs w:val="24"/>
        </w:rPr>
        <w:t>zatykowa</w:t>
      </w:r>
      <w:proofErr w:type="spellEnd"/>
      <w:r w:rsidRPr="001468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468AF">
        <w:rPr>
          <w:rFonts w:ascii="Arial" w:hAnsi="Arial" w:cs="Arial"/>
          <w:color w:val="000000" w:themeColor="text1"/>
          <w:sz w:val="24"/>
          <w:szCs w:val="24"/>
        </w:rPr>
        <w:t>szabkowiążąca</w:t>
      </w:r>
      <w:proofErr w:type="spellEnd"/>
      <w:r w:rsidRPr="001468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468AF">
        <w:rPr>
          <w:rFonts w:ascii="Arial" w:hAnsi="Arial" w:cs="Arial"/>
          <w:color w:val="000000" w:themeColor="text1"/>
          <w:sz w:val="24"/>
          <w:szCs w:val="24"/>
        </w:rPr>
        <w:t>weber.tec</w:t>
      </w:r>
      <w:proofErr w:type="spellEnd"/>
      <w:r w:rsidRPr="001468AF">
        <w:rPr>
          <w:rFonts w:ascii="Arial" w:hAnsi="Arial" w:cs="Arial"/>
          <w:color w:val="000000" w:themeColor="text1"/>
          <w:sz w:val="24"/>
          <w:szCs w:val="24"/>
        </w:rPr>
        <w:t xml:space="preserve"> 935.) – 10 szt</w:t>
      </w:r>
      <w:r w:rsidR="006F0E3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81EF9C" w14:textId="1FF1F5FB" w:rsidR="003A64D7" w:rsidRPr="0006144E" w:rsidRDefault="003A64D7" w:rsidP="0006144E">
      <w:pPr>
        <w:pStyle w:val="Akapitzlist"/>
        <w:rPr>
          <w:rFonts w:ascii="Arial" w:hAnsi="Arial" w:cs="Arial"/>
          <w:sz w:val="24"/>
          <w:szCs w:val="24"/>
        </w:rPr>
      </w:pPr>
    </w:p>
    <w:sectPr w:rsidR="003A64D7" w:rsidRPr="0006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4915" w14:textId="77777777" w:rsidR="00675C59" w:rsidRDefault="00675C59" w:rsidP="001468AF">
      <w:pPr>
        <w:spacing w:after="0" w:line="240" w:lineRule="auto"/>
      </w:pPr>
      <w:r>
        <w:separator/>
      </w:r>
    </w:p>
  </w:endnote>
  <w:endnote w:type="continuationSeparator" w:id="0">
    <w:p w14:paraId="6C18738E" w14:textId="77777777" w:rsidR="00675C59" w:rsidRDefault="00675C59" w:rsidP="0014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5168" w14:textId="77777777" w:rsidR="00675C59" w:rsidRDefault="00675C59" w:rsidP="001468AF">
      <w:pPr>
        <w:spacing w:after="0" w:line="240" w:lineRule="auto"/>
      </w:pPr>
      <w:r>
        <w:separator/>
      </w:r>
    </w:p>
  </w:footnote>
  <w:footnote w:type="continuationSeparator" w:id="0">
    <w:p w14:paraId="4D3F0A98" w14:textId="77777777" w:rsidR="00675C59" w:rsidRDefault="00675C59" w:rsidP="0014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99D"/>
    <w:multiLevelType w:val="hybridMultilevel"/>
    <w:tmpl w:val="ABFED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1048"/>
    <w:multiLevelType w:val="hybridMultilevel"/>
    <w:tmpl w:val="B348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6BD8"/>
    <w:multiLevelType w:val="hybridMultilevel"/>
    <w:tmpl w:val="B1CEC1A2"/>
    <w:lvl w:ilvl="0" w:tplc="5082F38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55"/>
    <w:rsid w:val="0006144E"/>
    <w:rsid w:val="001468AF"/>
    <w:rsid w:val="002D4358"/>
    <w:rsid w:val="003A64D7"/>
    <w:rsid w:val="003F3D65"/>
    <w:rsid w:val="00463EED"/>
    <w:rsid w:val="00675C59"/>
    <w:rsid w:val="006F0E33"/>
    <w:rsid w:val="00773A0B"/>
    <w:rsid w:val="00B66855"/>
    <w:rsid w:val="00B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EAEC"/>
  <w15:chartTrackingRefBased/>
  <w15:docId w15:val="{ADD547B7-CA8F-479E-9ED0-FCC18EA1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8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8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68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8A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Kaminska</dc:creator>
  <cp:keywords/>
  <dc:description/>
  <cp:lastModifiedBy>Aneta Kaminska</cp:lastModifiedBy>
  <cp:revision>6</cp:revision>
  <dcterms:created xsi:type="dcterms:W3CDTF">2021-11-02T13:37:00Z</dcterms:created>
  <dcterms:modified xsi:type="dcterms:W3CDTF">2021-11-22T14:05:00Z</dcterms:modified>
</cp:coreProperties>
</file>